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371D" w14:textId="53AA8054" w:rsidR="00B46C9C" w:rsidRDefault="00B46C9C" w:rsidP="00B46C9C">
      <w:pPr>
        <w:pStyle w:val="Heading1"/>
        <w:ind w:left="0"/>
      </w:pPr>
      <w:r>
        <w:t>Activity: Compare Employee Benefits</w:t>
      </w:r>
    </w:p>
    <w:p w14:paraId="30B8479A" w14:textId="77777777" w:rsidR="00B46C9C" w:rsidRDefault="00B46C9C" w:rsidP="00B46C9C">
      <w:pPr>
        <w:pStyle w:val="BodyText"/>
        <w:rPr>
          <w:rFonts w:ascii="Arial Narrow"/>
          <w:b/>
          <w:sz w:val="20"/>
        </w:rPr>
      </w:pPr>
    </w:p>
    <w:p w14:paraId="7025BD6C" w14:textId="77777777" w:rsidR="00B46C9C" w:rsidRDefault="00B46C9C" w:rsidP="00B46C9C">
      <w:pPr>
        <w:pStyle w:val="BodyText"/>
        <w:spacing w:line="268" w:lineRule="auto"/>
        <w:ind w:right="592"/>
      </w:pPr>
      <w:r>
        <w:rPr>
          <w:b/>
        </w:rPr>
        <w:t xml:space="preserve">Directions: </w:t>
      </w:r>
      <w:r>
        <w:t>Gina’s cousin, Jordan, has just finished college and is trying to decide between two job offers. The salaries are the same, but the benefits are very different. Study each of the offers below to compare the employee compensation packages.</w:t>
      </w:r>
    </w:p>
    <w:p w14:paraId="72E0C780" w14:textId="77777777" w:rsidR="00B46C9C" w:rsidRDefault="00B46C9C" w:rsidP="00B46C9C">
      <w:pPr>
        <w:pStyle w:val="BodyText"/>
        <w:rPr>
          <w:sz w:val="20"/>
        </w:rPr>
      </w:pPr>
    </w:p>
    <w:p w14:paraId="34526FAA" w14:textId="77777777" w:rsidR="00B46C9C" w:rsidRDefault="00B46C9C" w:rsidP="00B46C9C">
      <w:pPr>
        <w:pStyle w:val="BodyText"/>
        <w:spacing w:before="11"/>
      </w:pPr>
    </w:p>
    <w:tbl>
      <w:tblPr>
        <w:tblW w:w="10195" w:type="dxa"/>
        <w:tblInd w:w="-37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697"/>
        <w:gridCol w:w="4321"/>
        <w:gridCol w:w="4177"/>
      </w:tblGrid>
      <w:tr w:rsidR="00B46C9C" w14:paraId="023CAB6A" w14:textId="77777777" w:rsidTr="00B46C9C">
        <w:trPr>
          <w:trHeight w:val="392"/>
        </w:trPr>
        <w:tc>
          <w:tcPr>
            <w:tcW w:w="1697" w:type="dxa"/>
            <w:shd w:val="clear" w:color="auto" w:fill="BEBEBE"/>
          </w:tcPr>
          <w:p w14:paraId="59929177" w14:textId="77777777" w:rsidR="00B46C9C" w:rsidRDefault="00B46C9C" w:rsidP="00FA788E">
            <w:pPr>
              <w:pStyle w:val="TableParagraph"/>
              <w:ind w:left="0"/>
              <w:rPr>
                <w:rFonts w:ascii="Times New Roman"/>
                <w:sz w:val="20"/>
              </w:rPr>
            </w:pPr>
          </w:p>
        </w:tc>
        <w:tc>
          <w:tcPr>
            <w:tcW w:w="4321" w:type="dxa"/>
            <w:tcBorders>
              <w:right w:val="single" w:sz="6" w:space="0" w:color="808080"/>
            </w:tcBorders>
            <w:shd w:val="clear" w:color="auto" w:fill="BEBEBE"/>
          </w:tcPr>
          <w:p w14:paraId="66E371B9" w14:textId="77777777" w:rsidR="00B46C9C" w:rsidRDefault="00B46C9C" w:rsidP="00FA788E">
            <w:pPr>
              <w:pStyle w:val="TableParagraph"/>
              <w:spacing w:before="81"/>
              <w:ind w:left="1824" w:right="1802"/>
              <w:jc w:val="center"/>
              <w:rPr>
                <w:b/>
              </w:rPr>
            </w:pPr>
            <w:r>
              <w:rPr>
                <w:b/>
              </w:rPr>
              <w:t>Offer A</w:t>
            </w:r>
          </w:p>
        </w:tc>
        <w:tc>
          <w:tcPr>
            <w:tcW w:w="4177" w:type="dxa"/>
            <w:tcBorders>
              <w:left w:val="single" w:sz="6" w:space="0" w:color="808080"/>
            </w:tcBorders>
            <w:shd w:val="clear" w:color="auto" w:fill="BEBEBE"/>
          </w:tcPr>
          <w:p w14:paraId="3E8EAAD6" w14:textId="77777777" w:rsidR="00B46C9C" w:rsidRDefault="00B46C9C" w:rsidP="00FA788E">
            <w:pPr>
              <w:pStyle w:val="TableParagraph"/>
              <w:spacing w:before="81"/>
              <w:ind w:left="1751" w:right="1717"/>
              <w:jc w:val="center"/>
              <w:rPr>
                <w:b/>
              </w:rPr>
            </w:pPr>
            <w:r>
              <w:rPr>
                <w:b/>
              </w:rPr>
              <w:t>Offer B</w:t>
            </w:r>
          </w:p>
        </w:tc>
      </w:tr>
      <w:tr w:rsidR="00B46C9C" w14:paraId="1611EAD0" w14:textId="77777777" w:rsidTr="00B46C9C">
        <w:trPr>
          <w:trHeight w:val="409"/>
        </w:trPr>
        <w:tc>
          <w:tcPr>
            <w:tcW w:w="1697" w:type="dxa"/>
            <w:tcBorders>
              <w:bottom w:val="single" w:sz="6" w:space="0" w:color="808080"/>
            </w:tcBorders>
            <w:shd w:val="clear" w:color="auto" w:fill="D9D9D9"/>
          </w:tcPr>
          <w:p w14:paraId="6C88A28C" w14:textId="77777777" w:rsidR="00B46C9C" w:rsidRDefault="00B46C9C" w:rsidP="00FA788E">
            <w:pPr>
              <w:pStyle w:val="TableParagraph"/>
              <w:spacing w:before="61"/>
            </w:pPr>
            <w:r>
              <w:t>Salary</w:t>
            </w:r>
          </w:p>
        </w:tc>
        <w:tc>
          <w:tcPr>
            <w:tcW w:w="4321" w:type="dxa"/>
            <w:tcBorders>
              <w:bottom w:val="single" w:sz="6" w:space="0" w:color="808080"/>
              <w:right w:val="single" w:sz="6" w:space="0" w:color="808080"/>
            </w:tcBorders>
          </w:tcPr>
          <w:p w14:paraId="50D0D909" w14:textId="77777777" w:rsidR="00B46C9C" w:rsidRDefault="00B46C9C" w:rsidP="00FA788E">
            <w:pPr>
              <w:pStyle w:val="TableParagraph"/>
              <w:spacing w:before="61"/>
            </w:pPr>
            <w:r>
              <w:t>$24,000 a year.</w:t>
            </w:r>
          </w:p>
        </w:tc>
        <w:tc>
          <w:tcPr>
            <w:tcW w:w="4177" w:type="dxa"/>
            <w:tcBorders>
              <w:left w:val="single" w:sz="6" w:space="0" w:color="808080"/>
              <w:bottom w:val="single" w:sz="6" w:space="0" w:color="808080"/>
            </w:tcBorders>
          </w:tcPr>
          <w:p w14:paraId="772308B4" w14:textId="77777777" w:rsidR="00B46C9C" w:rsidRDefault="00B46C9C" w:rsidP="00FA788E">
            <w:pPr>
              <w:pStyle w:val="TableParagraph"/>
              <w:spacing w:before="61"/>
              <w:ind w:left="115"/>
            </w:pPr>
            <w:r>
              <w:t>$24,000 a year.</w:t>
            </w:r>
          </w:p>
        </w:tc>
      </w:tr>
      <w:tr w:rsidR="00B46C9C" w14:paraId="4B91BE95" w14:textId="77777777" w:rsidTr="00B46C9C">
        <w:trPr>
          <w:trHeight w:val="660"/>
        </w:trPr>
        <w:tc>
          <w:tcPr>
            <w:tcW w:w="1697" w:type="dxa"/>
            <w:tcBorders>
              <w:top w:val="single" w:sz="6" w:space="0" w:color="808080"/>
              <w:bottom w:val="single" w:sz="6" w:space="0" w:color="808080"/>
            </w:tcBorders>
            <w:shd w:val="clear" w:color="auto" w:fill="D9D9D9"/>
          </w:tcPr>
          <w:p w14:paraId="4869E622" w14:textId="77777777" w:rsidR="00B46C9C" w:rsidRDefault="00B46C9C" w:rsidP="00FA788E">
            <w:pPr>
              <w:pStyle w:val="TableParagraph"/>
              <w:spacing w:before="62"/>
              <w:ind w:right="619"/>
            </w:pPr>
            <w:r>
              <w:t>Health Insurance</w:t>
            </w:r>
          </w:p>
        </w:tc>
        <w:tc>
          <w:tcPr>
            <w:tcW w:w="4321" w:type="dxa"/>
            <w:tcBorders>
              <w:top w:val="single" w:sz="6" w:space="0" w:color="808080"/>
              <w:bottom w:val="single" w:sz="6" w:space="0" w:color="808080"/>
              <w:right w:val="single" w:sz="6" w:space="0" w:color="808080"/>
            </w:tcBorders>
          </w:tcPr>
          <w:p w14:paraId="21AE8583" w14:textId="77777777" w:rsidR="00B46C9C" w:rsidRDefault="00B46C9C" w:rsidP="00FA788E">
            <w:pPr>
              <w:pStyle w:val="TableParagraph"/>
              <w:spacing w:before="62"/>
              <w:ind w:right="1377"/>
            </w:pPr>
            <w:r>
              <w:t>Employer pays $360 a month. Jordan pays $40 a month.</w:t>
            </w:r>
          </w:p>
        </w:tc>
        <w:tc>
          <w:tcPr>
            <w:tcW w:w="4177" w:type="dxa"/>
            <w:tcBorders>
              <w:top w:val="single" w:sz="6" w:space="0" w:color="808080"/>
              <w:left w:val="single" w:sz="6" w:space="0" w:color="808080"/>
              <w:bottom w:val="single" w:sz="6" w:space="0" w:color="808080"/>
            </w:tcBorders>
          </w:tcPr>
          <w:p w14:paraId="3F44C04A" w14:textId="77777777" w:rsidR="00B46C9C" w:rsidRDefault="00B46C9C" w:rsidP="00FA788E">
            <w:pPr>
              <w:pStyle w:val="TableParagraph"/>
              <w:spacing w:before="62"/>
              <w:ind w:left="115" w:right="1225"/>
            </w:pPr>
            <w:r>
              <w:t>Employer pays $300 a month. Jordan pays $100 per month.</w:t>
            </w:r>
          </w:p>
        </w:tc>
      </w:tr>
      <w:tr w:rsidR="00B46C9C" w14:paraId="063BA800" w14:textId="77777777" w:rsidTr="00B46C9C">
        <w:trPr>
          <w:trHeight w:val="659"/>
        </w:trPr>
        <w:tc>
          <w:tcPr>
            <w:tcW w:w="1697" w:type="dxa"/>
            <w:tcBorders>
              <w:top w:val="single" w:sz="6" w:space="0" w:color="808080"/>
              <w:bottom w:val="single" w:sz="6" w:space="0" w:color="808080"/>
            </w:tcBorders>
            <w:shd w:val="clear" w:color="auto" w:fill="D9D9D9"/>
          </w:tcPr>
          <w:p w14:paraId="314942F4" w14:textId="77777777" w:rsidR="00B46C9C" w:rsidRDefault="00B46C9C" w:rsidP="00FA788E">
            <w:pPr>
              <w:pStyle w:val="TableParagraph"/>
              <w:spacing w:before="59" w:line="242" w:lineRule="auto"/>
              <w:ind w:right="619"/>
            </w:pPr>
            <w:r>
              <w:t>Dental Insurance</w:t>
            </w:r>
          </w:p>
        </w:tc>
        <w:tc>
          <w:tcPr>
            <w:tcW w:w="4321" w:type="dxa"/>
            <w:tcBorders>
              <w:top w:val="single" w:sz="6" w:space="0" w:color="808080"/>
              <w:bottom w:val="single" w:sz="6" w:space="0" w:color="808080"/>
              <w:right w:val="single" w:sz="6" w:space="0" w:color="808080"/>
            </w:tcBorders>
          </w:tcPr>
          <w:p w14:paraId="629A68E6" w14:textId="77777777" w:rsidR="00B46C9C" w:rsidRDefault="00B46C9C" w:rsidP="00FA788E">
            <w:pPr>
              <w:pStyle w:val="TableParagraph"/>
              <w:spacing w:before="184"/>
            </w:pPr>
            <w:r>
              <w:t>Not offered.</w:t>
            </w:r>
          </w:p>
        </w:tc>
        <w:tc>
          <w:tcPr>
            <w:tcW w:w="4177" w:type="dxa"/>
            <w:tcBorders>
              <w:top w:val="single" w:sz="6" w:space="0" w:color="808080"/>
              <w:left w:val="single" w:sz="6" w:space="0" w:color="808080"/>
              <w:bottom w:val="single" w:sz="6" w:space="0" w:color="808080"/>
            </w:tcBorders>
          </w:tcPr>
          <w:p w14:paraId="58B72CB9" w14:textId="77777777" w:rsidR="00B46C9C" w:rsidRDefault="00B46C9C" w:rsidP="00FA788E">
            <w:pPr>
              <w:pStyle w:val="TableParagraph"/>
              <w:spacing w:before="59" w:line="242" w:lineRule="auto"/>
              <w:ind w:left="115" w:right="1166"/>
            </w:pPr>
            <w:r>
              <w:t>Employer pays $15 per month. Jordan pays $5 per month.</w:t>
            </w:r>
          </w:p>
        </w:tc>
      </w:tr>
      <w:tr w:rsidR="00B46C9C" w14:paraId="52B93AF5" w14:textId="77777777" w:rsidTr="00B46C9C">
        <w:trPr>
          <w:trHeight w:val="908"/>
        </w:trPr>
        <w:tc>
          <w:tcPr>
            <w:tcW w:w="1697" w:type="dxa"/>
            <w:tcBorders>
              <w:top w:val="single" w:sz="6" w:space="0" w:color="808080"/>
              <w:bottom w:val="single" w:sz="6" w:space="0" w:color="808080"/>
            </w:tcBorders>
            <w:shd w:val="clear" w:color="auto" w:fill="D9D9D9"/>
          </w:tcPr>
          <w:p w14:paraId="39A8C5F7" w14:textId="77777777" w:rsidR="00B46C9C" w:rsidRDefault="00B46C9C" w:rsidP="00FA788E">
            <w:pPr>
              <w:pStyle w:val="TableParagraph"/>
              <w:spacing w:before="184"/>
              <w:ind w:right="545"/>
            </w:pPr>
            <w:r>
              <w:t>Tuition Assistance</w:t>
            </w:r>
          </w:p>
        </w:tc>
        <w:tc>
          <w:tcPr>
            <w:tcW w:w="4321" w:type="dxa"/>
            <w:tcBorders>
              <w:top w:val="single" w:sz="6" w:space="0" w:color="808080"/>
              <w:bottom w:val="single" w:sz="6" w:space="0" w:color="808080"/>
              <w:right w:val="single" w:sz="6" w:space="0" w:color="808080"/>
            </w:tcBorders>
          </w:tcPr>
          <w:p w14:paraId="1ABF76E4" w14:textId="77777777" w:rsidR="00B46C9C" w:rsidRDefault="00B46C9C" w:rsidP="00FA788E">
            <w:pPr>
              <w:pStyle w:val="TableParagraph"/>
              <w:spacing w:before="61" w:line="237" w:lineRule="auto"/>
              <w:ind w:right="493"/>
            </w:pPr>
            <w:r>
              <w:t>Employer will pay 100 percent of tuition costs per year toward a bachelor’s or</w:t>
            </w:r>
          </w:p>
          <w:p w14:paraId="3E40BA5B" w14:textId="77777777" w:rsidR="00B46C9C" w:rsidRDefault="00B46C9C" w:rsidP="00FA788E">
            <w:pPr>
              <w:pStyle w:val="TableParagraph"/>
              <w:spacing w:before="4"/>
            </w:pPr>
            <w:r>
              <w:t>advanced degree, up to a total of $2,000.</w:t>
            </w:r>
          </w:p>
        </w:tc>
        <w:tc>
          <w:tcPr>
            <w:tcW w:w="4177" w:type="dxa"/>
            <w:tcBorders>
              <w:top w:val="single" w:sz="6" w:space="0" w:color="808080"/>
              <w:left w:val="single" w:sz="6" w:space="0" w:color="808080"/>
              <w:bottom w:val="single" w:sz="6" w:space="0" w:color="808080"/>
            </w:tcBorders>
          </w:tcPr>
          <w:p w14:paraId="543A115F" w14:textId="77777777" w:rsidR="00B46C9C" w:rsidRDefault="00B46C9C" w:rsidP="00FA788E">
            <w:pPr>
              <w:pStyle w:val="TableParagraph"/>
              <w:spacing w:before="184"/>
              <w:ind w:left="115" w:right="449"/>
            </w:pPr>
            <w:r>
              <w:t>Employer will pay 50 percent of tuition costs per year, up to a total of $4,000.</w:t>
            </w:r>
          </w:p>
        </w:tc>
      </w:tr>
      <w:tr w:rsidR="00B46C9C" w14:paraId="23548A9C" w14:textId="77777777" w:rsidTr="00B46C9C">
        <w:trPr>
          <w:trHeight w:val="1156"/>
        </w:trPr>
        <w:tc>
          <w:tcPr>
            <w:tcW w:w="1697" w:type="dxa"/>
            <w:tcBorders>
              <w:top w:val="single" w:sz="6" w:space="0" w:color="808080"/>
              <w:bottom w:val="single" w:sz="6" w:space="0" w:color="808080"/>
            </w:tcBorders>
            <w:shd w:val="clear" w:color="auto" w:fill="D9D9D9"/>
          </w:tcPr>
          <w:p w14:paraId="2717B3DA" w14:textId="77777777" w:rsidR="00B46C9C" w:rsidRDefault="00B46C9C" w:rsidP="00FA788E">
            <w:pPr>
              <w:pStyle w:val="TableParagraph"/>
              <w:spacing w:before="3"/>
              <w:ind w:left="0"/>
              <w:rPr>
                <w:sz w:val="27"/>
              </w:rPr>
            </w:pPr>
          </w:p>
          <w:p w14:paraId="535B8CC8" w14:textId="77777777" w:rsidR="00B46C9C" w:rsidRDefault="00B46C9C" w:rsidP="00FA788E">
            <w:pPr>
              <w:pStyle w:val="TableParagraph"/>
              <w:ind w:right="183"/>
            </w:pPr>
            <w:r>
              <w:t>Transportation Assistance</w:t>
            </w:r>
          </w:p>
        </w:tc>
        <w:tc>
          <w:tcPr>
            <w:tcW w:w="4321" w:type="dxa"/>
            <w:tcBorders>
              <w:top w:val="single" w:sz="6" w:space="0" w:color="808080"/>
              <w:bottom w:val="single" w:sz="6" w:space="0" w:color="808080"/>
              <w:right w:val="single" w:sz="6" w:space="0" w:color="808080"/>
            </w:tcBorders>
          </w:tcPr>
          <w:p w14:paraId="7A34C5A5" w14:textId="77777777" w:rsidR="00B46C9C" w:rsidRDefault="00B46C9C" w:rsidP="00FA788E">
            <w:pPr>
              <w:pStyle w:val="TableParagraph"/>
              <w:spacing w:before="59"/>
              <w:ind w:right="115"/>
            </w:pPr>
            <w:r>
              <w:t>Jordan gets a $25 discount off the monthly parking fee of $100, or a monthly public transportation pass of up to $50, or $300 a year toward purchase of a bike.</w:t>
            </w:r>
          </w:p>
        </w:tc>
        <w:tc>
          <w:tcPr>
            <w:tcW w:w="4177" w:type="dxa"/>
            <w:tcBorders>
              <w:top w:val="single" w:sz="6" w:space="0" w:color="808080"/>
              <w:left w:val="single" w:sz="6" w:space="0" w:color="808080"/>
              <w:bottom w:val="single" w:sz="6" w:space="0" w:color="808080"/>
            </w:tcBorders>
          </w:tcPr>
          <w:p w14:paraId="558F47D9" w14:textId="77777777" w:rsidR="00B46C9C" w:rsidRDefault="00B46C9C" w:rsidP="00FA788E">
            <w:pPr>
              <w:pStyle w:val="TableParagraph"/>
              <w:ind w:left="0"/>
              <w:rPr>
                <w:sz w:val="24"/>
              </w:rPr>
            </w:pPr>
          </w:p>
          <w:p w14:paraId="74C421E0" w14:textId="77777777" w:rsidR="00B46C9C" w:rsidRDefault="00B46C9C" w:rsidP="00FA788E">
            <w:pPr>
              <w:pStyle w:val="TableParagraph"/>
              <w:spacing w:before="162"/>
              <w:ind w:left="115"/>
            </w:pPr>
            <w:r>
              <w:t>None.</w:t>
            </w:r>
          </w:p>
        </w:tc>
      </w:tr>
      <w:tr w:rsidR="00B46C9C" w14:paraId="14962C5F" w14:textId="77777777" w:rsidTr="00B46C9C">
        <w:trPr>
          <w:trHeight w:val="909"/>
        </w:trPr>
        <w:tc>
          <w:tcPr>
            <w:tcW w:w="1697" w:type="dxa"/>
            <w:tcBorders>
              <w:top w:val="single" w:sz="6" w:space="0" w:color="808080"/>
              <w:bottom w:val="single" w:sz="6" w:space="0" w:color="808080"/>
            </w:tcBorders>
            <w:shd w:val="clear" w:color="auto" w:fill="D9D9D9"/>
          </w:tcPr>
          <w:p w14:paraId="7D563C70" w14:textId="77777777" w:rsidR="00B46C9C" w:rsidRDefault="00B46C9C" w:rsidP="00FA788E">
            <w:pPr>
              <w:pStyle w:val="TableParagraph"/>
              <w:spacing w:before="187"/>
              <w:ind w:right="505"/>
            </w:pPr>
            <w:r>
              <w:t>Retirement Plan</w:t>
            </w:r>
          </w:p>
        </w:tc>
        <w:tc>
          <w:tcPr>
            <w:tcW w:w="4321" w:type="dxa"/>
            <w:tcBorders>
              <w:top w:val="single" w:sz="6" w:space="0" w:color="808080"/>
              <w:bottom w:val="single" w:sz="6" w:space="0" w:color="808080"/>
              <w:right w:val="single" w:sz="6" w:space="0" w:color="808080"/>
            </w:tcBorders>
          </w:tcPr>
          <w:p w14:paraId="7059969C" w14:textId="77777777" w:rsidR="00B46C9C" w:rsidRDefault="00B46C9C" w:rsidP="00FA788E">
            <w:pPr>
              <w:pStyle w:val="TableParagraph"/>
              <w:spacing w:before="62"/>
              <w:ind w:right="123"/>
            </w:pPr>
            <w:r>
              <w:t>Employer matches 50 percent of Jordan’s contributions a year, up to six percent of his salary.</w:t>
            </w:r>
          </w:p>
        </w:tc>
        <w:tc>
          <w:tcPr>
            <w:tcW w:w="4177" w:type="dxa"/>
            <w:tcBorders>
              <w:top w:val="single" w:sz="6" w:space="0" w:color="808080"/>
              <w:left w:val="single" w:sz="6" w:space="0" w:color="808080"/>
              <w:bottom w:val="single" w:sz="6" w:space="0" w:color="808080"/>
            </w:tcBorders>
          </w:tcPr>
          <w:p w14:paraId="37F3DDAD" w14:textId="77777777" w:rsidR="00B46C9C" w:rsidRDefault="00B46C9C" w:rsidP="00FA788E">
            <w:pPr>
              <w:pStyle w:val="TableParagraph"/>
              <w:spacing w:before="62" w:line="249" w:lineRule="exact"/>
              <w:ind w:left="115"/>
            </w:pPr>
            <w:r>
              <w:t>Employer matches 100 percent of</w:t>
            </w:r>
          </w:p>
          <w:p w14:paraId="218C0B31" w14:textId="77777777" w:rsidR="00B46C9C" w:rsidRDefault="00B46C9C" w:rsidP="00FA788E">
            <w:pPr>
              <w:pStyle w:val="TableParagraph"/>
              <w:spacing w:line="242" w:lineRule="auto"/>
              <w:ind w:left="115" w:right="219"/>
            </w:pPr>
            <w:r>
              <w:t>Jordan’s contributions a year, up to three percent of his salary.</w:t>
            </w:r>
          </w:p>
        </w:tc>
      </w:tr>
      <w:tr w:rsidR="00B46C9C" w14:paraId="29340C8F" w14:textId="77777777" w:rsidTr="00B46C9C">
        <w:trPr>
          <w:trHeight w:val="908"/>
        </w:trPr>
        <w:tc>
          <w:tcPr>
            <w:tcW w:w="1697" w:type="dxa"/>
            <w:tcBorders>
              <w:top w:val="single" w:sz="6" w:space="0" w:color="808080"/>
              <w:bottom w:val="single" w:sz="6" w:space="0" w:color="808080"/>
            </w:tcBorders>
            <w:shd w:val="clear" w:color="auto" w:fill="D9D9D9"/>
          </w:tcPr>
          <w:p w14:paraId="6030FC9F" w14:textId="77777777" w:rsidR="00B46C9C" w:rsidRDefault="00B46C9C" w:rsidP="00FA788E">
            <w:pPr>
              <w:pStyle w:val="TableParagraph"/>
              <w:spacing w:before="184"/>
              <w:ind w:right="374"/>
            </w:pPr>
            <w:r>
              <w:t>Gym Membership</w:t>
            </w:r>
          </w:p>
        </w:tc>
        <w:tc>
          <w:tcPr>
            <w:tcW w:w="4321" w:type="dxa"/>
            <w:tcBorders>
              <w:top w:val="single" w:sz="6" w:space="0" w:color="808080"/>
              <w:bottom w:val="single" w:sz="6" w:space="0" w:color="808080"/>
              <w:right w:val="single" w:sz="6" w:space="0" w:color="808080"/>
            </w:tcBorders>
          </w:tcPr>
          <w:p w14:paraId="52583DDF" w14:textId="77777777" w:rsidR="00B46C9C" w:rsidRDefault="00B46C9C" w:rsidP="00FA788E">
            <w:pPr>
              <w:pStyle w:val="TableParagraph"/>
              <w:spacing w:before="184"/>
              <w:ind w:right="284"/>
            </w:pPr>
            <w:r>
              <w:t>Jordan gets 30 percent off a $40-a-month membership at the nearby gym.</w:t>
            </w:r>
          </w:p>
        </w:tc>
        <w:tc>
          <w:tcPr>
            <w:tcW w:w="4177" w:type="dxa"/>
            <w:tcBorders>
              <w:top w:val="single" w:sz="6" w:space="0" w:color="808080"/>
              <w:left w:val="single" w:sz="6" w:space="0" w:color="808080"/>
              <w:bottom w:val="single" w:sz="6" w:space="0" w:color="808080"/>
            </w:tcBorders>
          </w:tcPr>
          <w:p w14:paraId="1E4A733F" w14:textId="77777777" w:rsidR="00B46C9C" w:rsidRDefault="00B46C9C" w:rsidP="00FA788E">
            <w:pPr>
              <w:pStyle w:val="TableParagraph"/>
              <w:spacing w:before="59"/>
              <w:ind w:left="115" w:right="121"/>
            </w:pPr>
            <w:r>
              <w:t>Jordan gets a free membership at the gym in the building, which is normally $30 each</w:t>
            </w:r>
            <w:r>
              <w:rPr>
                <w:spacing w:val="1"/>
              </w:rPr>
              <w:t xml:space="preserve"> </w:t>
            </w:r>
            <w:r>
              <w:t>month.</w:t>
            </w:r>
          </w:p>
        </w:tc>
      </w:tr>
      <w:tr w:rsidR="00B46C9C" w14:paraId="71DE9116" w14:textId="77777777" w:rsidTr="00B46C9C">
        <w:trPr>
          <w:trHeight w:val="657"/>
        </w:trPr>
        <w:tc>
          <w:tcPr>
            <w:tcW w:w="1697" w:type="dxa"/>
            <w:tcBorders>
              <w:top w:val="single" w:sz="6" w:space="0" w:color="808080"/>
              <w:bottom w:val="single" w:sz="6" w:space="0" w:color="808080"/>
            </w:tcBorders>
            <w:shd w:val="clear" w:color="auto" w:fill="D9D9D9"/>
          </w:tcPr>
          <w:p w14:paraId="4CD2872A" w14:textId="77777777" w:rsidR="00B46C9C" w:rsidRDefault="00B46C9C" w:rsidP="00FA788E">
            <w:pPr>
              <w:pStyle w:val="TableParagraph"/>
              <w:spacing w:before="184"/>
            </w:pPr>
            <w:r>
              <w:t>Paid Holidays</w:t>
            </w:r>
          </w:p>
        </w:tc>
        <w:tc>
          <w:tcPr>
            <w:tcW w:w="4321" w:type="dxa"/>
            <w:tcBorders>
              <w:top w:val="single" w:sz="6" w:space="0" w:color="808080"/>
              <w:bottom w:val="single" w:sz="6" w:space="0" w:color="808080"/>
              <w:right w:val="single" w:sz="6" w:space="0" w:color="808080"/>
            </w:tcBorders>
          </w:tcPr>
          <w:p w14:paraId="43983F75" w14:textId="77777777" w:rsidR="00B46C9C" w:rsidRDefault="00B46C9C" w:rsidP="00FA788E">
            <w:pPr>
              <w:pStyle w:val="TableParagraph"/>
              <w:spacing w:before="59"/>
              <w:ind w:right="604"/>
            </w:pPr>
            <w:r>
              <w:t>Employer provides 11 paid days off for holidays each year.</w:t>
            </w:r>
          </w:p>
        </w:tc>
        <w:tc>
          <w:tcPr>
            <w:tcW w:w="4177" w:type="dxa"/>
            <w:tcBorders>
              <w:top w:val="single" w:sz="6" w:space="0" w:color="808080"/>
              <w:left w:val="single" w:sz="6" w:space="0" w:color="808080"/>
              <w:bottom w:val="single" w:sz="6" w:space="0" w:color="808080"/>
            </w:tcBorders>
          </w:tcPr>
          <w:p w14:paraId="42C7463E" w14:textId="77777777" w:rsidR="00B46C9C" w:rsidRDefault="00B46C9C" w:rsidP="00FA788E">
            <w:pPr>
              <w:pStyle w:val="TableParagraph"/>
              <w:spacing w:before="59"/>
              <w:ind w:left="115" w:right="306"/>
            </w:pPr>
            <w:r>
              <w:t>Employer provides nine paid days off for holidays each year.</w:t>
            </w:r>
          </w:p>
        </w:tc>
      </w:tr>
      <w:tr w:rsidR="00B46C9C" w14:paraId="0C101832" w14:textId="77777777" w:rsidTr="00B46C9C">
        <w:trPr>
          <w:trHeight w:val="911"/>
        </w:trPr>
        <w:tc>
          <w:tcPr>
            <w:tcW w:w="1697" w:type="dxa"/>
            <w:tcBorders>
              <w:top w:val="single" w:sz="6" w:space="0" w:color="808080"/>
            </w:tcBorders>
            <w:shd w:val="clear" w:color="auto" w:fill="D9D9D9"/>
          </w:tcPr>
          <w:p w14:paraId="0270EDA9" w14:textId="77777777" w:rsidR="00B46C9C" w:rsidRDefault="00B46C9C" w:rsidP="00FA788E">
            <w:pPr>
              <w:pStyle w:val="TableParagraph"/>
              <w:spacing w:before="5"/>
              <w:ind w:left="0"/>
              <w:rPr>
                <w:sz w:val="27"/>
              </w:rPr>
            </w:pPr>
          </w:p>
          <w:p w14:paraId="415A18D4" w14:textId="77777777" w:rsidR="00B46C9C" w:rsidRDefault="00B46C9C" w:rsidP="00FA788E">
            <w:pPr>
              <w:pStyle w:val="TableParagraph"/>
            </w:pPr>
            <w:r>
              <w:t>Paid Time Off</w:t>
            </w:r>
          </w:p>
        </w:tc>
        <w:tc>
          <w:tcPr>
            <w:tcW w:w="4321" w:type="dxa"/>
            <w:tcBorders>
              <w:top w:val="single" w:sz="6" w:space="0" w:color="808080"/>
              <w:right w:val="single" w:sz="6" w:space="0" w:color="808080"/>
            </w:tcBorders>
          </w:tcPr>
          <w:p w14:paraId="38774BD8" w14:textId="77777777" w:rsidR="00B46C9C" w:rsidRDefault="00B46C9C" w:rsidP="00FA788E">
            <w:pPr>
              <w:pStyle w:val="TableParagraph"/>
              <w:spacing w:before="187"/>
              <w:ind w:right="300"/>
            </w:pPr>
            <w:r>
              <w:t>Employer provides five paid vacation days and three paid sick days the first year.</w:t>
            </w:r>
          </w:p>
        </w:tc>
        <w:tc>
          <w:tcPr>
            <w:tcW w:w="4177" w:type="dxa"/>
            <w:tcBorders>
              <w:top w:val="single" w:sz="6" w:space="0" w:color="808080"/>
              <w:left w:val="single" w:sz="6" w:space="0" w:color="808080"/>
            </w:tcBorders>
          </w:tcPr>
          <w:p w14:paraId="53A56B3E" w14:textId="77777777" w:rsidR="00B46C9C" w:rsidRDefault="00B46C9C" w:rsidP="00FA788E">
            <w:pPr>
              <w:pStyle w:val="TableParagraph"/>
              <w:spacing w:before="62"/>
              <w:ind w:left="115" w:right="252"/>
              <w:jc w:val="both"/>
            </w:pPr>
            <w:r>
              <w:t>Employer provides 10 days of paid leave the first year which an employee can use for vacation or sick leave.</w:t>
            </w:r>
          </w:p>
        </w:tc>
      </w:tr>
    </w:tbl>
    <w:p w14:paraId="607CF481" w14:textId="77777777" w:rsidR="00B46C9C" w:rsidRDefault="00B46C9C" w:rsidP="00B46C9C">
      <w:pPr>
        <w:pStyle w:val="BodyText"/>
        <w:rPr>
          <w:sz w:val="20"/>
        </w:rPr>
      </w:pPr>
    </w:p>
    <w:p w14:paraId="34BCD780" w14:textId="77777777" w:rsidR="00B46C9C" w:rsidRDefault="00B46C9C" w:rsidP="00B46C9C">
      <w:pPr>
        <w:pStyle w:val="BodyText"/>
        <w:spacing w:before="5"/>
        <w:rPr>
          <w:sz w:val="24"/>
        </w:rPr>
      </w:pPr>
    </w:p>
    <w:p w14:paraId="4BA40CC9" w14:textId="6DDFAAB5" w:rsidR="00B46C9C" w:rsidRDefault="00B46C9C" w:rsidP="00C340D5">
      <w:pPr>
        <w:pStyle w:val="BodyText"/>
      </w:pPr>
      <w:r>
        <w:t xml:space="preserve">Which package would you choose and why? </w:t>
      </w: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633369">
        <w:rPr>
          <w:rFonts w:eastAsia="Arial Unicode MS" w:cs="Arial Unicode MS"/>
          <w:noProof/>
        </w:rPr>
        <w:t> </w:t>
      </w:r>
      <w:r w:rsidR="00633369">
        <w:rPr>
          <w:rFonts w:eastAsia="Arial Unicode MS" w:cs="Arial Unicode MS"/>
          <w:noProof/>
        </w:rPr>
        <w:t> </w:t>
      </w:r>
      <w:r w:rsidR="00633369">
        <w:rPr>
          <w:rFonts w:eastAsia="Arial Unicode MS" w:cs="Arial Unicode MS"/>
          <w:noProof/>
        </w:rPr>
        <w:t> </w:t>
      </w:r>
      <w:r w:rsidR="00633369">
        <w:rPr>
          <w:rFonts w:eastAsia="Arial Unicode MS" w:cs="Arial Unicode MS"/>
          <w:noProof/>
        </w:rPr>
        <w:t> </w:t>
      </w:r>
      <w:r w:rsidR="00633369">
        <w:rPr>
          <w:rFonts w:eastAsia="Arial Unicode MS" w:cs="Arial Unicode MS"/>
          <w:noProof/>
        </w:rPr>
        <w:t> </w:t>
      </w:r>
      <w:r>
        <w:rPr>
          <w:rFonts w:eastAsia="Arial Unicode MS" w:cs="Arial Unicode MS"/>
        </w:rPr>
        <w:fldChar w:fldCharType="end"/>
      </w:r>
    </w:p>
    <w:p w14:paraId="6F8B5934" w14:textId="77777777" w:rsidR="00A95AC8" w:rsidRDefault="00A95AC8"/>
    <w:sectPr w:rsidR="00A95AC8" w:rsidSect="004A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removePersonalInformation/>
  <w:removeDateAndTime/>
  <w:documentProtection w:edit="forms" w:enforcement="1" w:cryptProviderType="rsaAES" w:cryptAlgorithmClass="hash" w:cryptAlgorithmType="typeAny" w:cryptAlgorithmSid="14" w:cryptSpinCount="100000" w:hash="X5NiDDuei2hoJTwMmh2rKzYaA6C/udHuFoB+EbYaxbeV3G3gt4x0fJW30gOoe2pg1xlRoKL4Xd/CdSISeUx6yw==" w:salt="nTgxaTtpyBODKBjput4T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9C"/>
    <w:rsid w:val="004A73B0"/>
    <w:rsid w:val="00633369"/>
    <w:rsid w:val="00980065"/>
    <w:rsid w:val="00A95AC8"/>
    <w:rsid w:val="00B46C9C"/>
    <w:rsid w:val="00C3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2AF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9C"/>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B46C9C"/>
    <w:pPr>
      <w:spacing w:before="87"/>
      <w:ind w:left="372"/>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B46C9C"/>
    <w:pPr>
      <w:spacing w:before="101"/>
      <w:ind w:left="372"/>
      <w:outlineLvl w:val="1"/>
    </w:pPr>
    <w:rPr>
      <w:rFonts w:ascii="Arial Narrow" w:eastAsia="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C9C"/>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B46C9C"/>
    <w:rPr>
      <w:rFonts w:ascii="Arial Narrow" w:eastAsia="Arial Narrow" w:hAnsi="Arial Narrow" w:cs="Arial Narrow"/>
      <w:b/>
      <w:bCs/>
      <w:sz w:val="28"/>
      <w:szCs w:val="28"/>
    </w:rPr>
  </w:style>
  <w:style w:type="paragraph" w:styleId="BodyText">
    <w:name w:val="Body Text"/>
    <w:basedOn w:val="Normal"/>
    <w:link w:val="BodyTextChar"/>
    <w:uiPriority w:val="1"/>
    <w:qFormat/>
    <w:rsid w:val="00B46C9C"/>
  </w:style>
  <w:style w:type="character" w:customStyle="1" w:styleId="BodyTextChar">
    <w:name w:val="Body Text Char"/>
    <w:basedOn w:val="DefaultParagraphFont"/>
    <w:link w:val="BodyText"/>
    <w:uiPriority w:val="1"/>
    <w:rsid w:val="00B46C9C"/>
    <w:rPr>
      <w:rFonts w:ascii="Franklin Gothic Book" w:eastAsia="Franklin Gothic Book" w:hAnsi="Franklin Gothic Book" w:cs="Franklin Gothic Book"/>
      <w:sz w:val="22"/>
      <w:szCs w:val="22"/>
    </w:rPr>
  </w:style>
  <w:style w:type="paragraph" w:customStyle="1" w:styleId="TableParagraph">
    <w:name w:val="Table Paragraph"/>
    <w:basedOn w:val="Normal"/>
    <w:uiPriority w:val="1"/>
    <w:qFormat/>
    <w:rsid w:val="00B46C9C"/>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2022-01-25T18:10:00Z</dcterms:created>
  <dcterms:modified xsi:type="dcterms:W3CDTF">2022-02-10T20:42:00Z</dcterms:modified>
</cp:coreProperties>
</file>